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ascii="黑体" w:hAnsi="黑体" w:eastAsia="黑体"/>
          <w:color w:val="000000"/>
          <w:sz w:val="32"/>
          <w:szCs w:val="32"/>
        </w:rPr>
      </w:pPr>
      <w:r>
        <w:rPr>
          <w:rFonts w:hint="eastAsia" w:ascii="黑体" w:hAnsi="黑体" w:eastAsia="黑体"/>
          <w:color w:val="000000"/>
          <w:sz w:val="32"/>
          <w:szCs w:val="32"/>
        </w:rPr>
        <w:t>附件</w:t>
      </w:r>
      <w:r>
        <w:rPr>
          <w:rFonts w:ascii="黑体" w:hAnsi="黑体" w:eastAsia="黑体"/>
          <w:color w:val="000000"/>
          <w:sz w:val="32"/>
          <w:szCs w:val="32"/>
        </w:rPr>
        <w:t>2</w:t>
      </w:r>
    </w:p>
    <w:p>
      <w:pPr>
        <w:snapToGrid w:val="0"/>
        <w:spacing w:line="560" w:lineRule="exact"/>
        <w:jc w:val="center"/>
        <w:rPr>
          <w:rFonts w:ascii="方正小标宋简体" w:hAnsi="Calibri" w:eastAsia="方正小标宋简体"/>
          <w:color w:val="000000"/>
          <w:sz w:val="36"/>
          <w:szCs w:val="36"/>
        </w:rPr>
      </w:pPr>
      <w:r>
        <w:rPr>
          <w:rFonts w:hint="eastAsia" w:ascii="方正小标宋简体" w:hAnsi="Calibri" w:eastAsia="方正小标宋简体"/>
          <w:color w:val="000000"/>
          <w:sz w:val="36"/>
          <w:szCs w:val="36"/>
        </w:rPr>
        <w:t>第六届中国国际“互联网+”大学生创新创业大赛</w:t>
      </w:r>
    </w:p>
    <w:p>
      <w:pPr>
        <w:snapToGrid w:val="0"/>
        <w:spacing w:line="560" w:lineRule="exact"/>
        <w:jc w:val="center"/>
        <w:rPr>
          <w:rFonts w:ascii="方正小标宋简体" w:hAnsi="Calibri" w:eastAsia="方正小标宋简体"/>
          <w:color w:val="000000"/>
          <w:sz w:val="36"/>
          <w:szCs w:val="36"/>
        </w:rPr>
      </w:pPr>
      <w:r>
        <w:rPr>
          <w:rFonts w:hint="eastAsia" w:ascii="方正小标宋简体" w:hAnsi="Calibri" w:eastAsia="方正小标宋简体"/>
          <w:color w:val="000000"/>
          <w:sz w:val="36"/>
          <w:szCs w:val="36"/>
        </w:rPr>
        <w:t>“青年红色筑梦之旅”活动方案</w:t>
      </w:r>
    </w:p>
    <w:p>
      <w:pPr>
        <w:snapToGrid w:val="0"/>
        <w:spacing w:line="560" w:lineRule="exact"/>
        <w:jc w:val="center"/>
        <w:rPr>
          <w:rFonts w:ascii="仿宋_GB2312" w:hAnsi="Calibri" w:eastAsia="仿宋_GB2312"/>
          <w:color w:val="000000"/>
          <w:sz w:val="32"/>
          <w:szCs w:val="36"/>
        </w:rPr>
      </w:pPr>
    </w:p>
    <w:p>
      <w:pPr>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第六届中国国际“互联网+”大学生创新创业大赛继续在更大范围、更高层次、更有温度、更深程度上开展“青年红色筑梦之旅”活动。方案如下。</w:t>
      </w:r>
    </w:p>
    <w:p>
      <w:pPr>
        <w:snapToGrid w:val="0"/>
        <w:spacing w:line="540" w:lineRule="exact"/>
        <w:ind w:firstLine="640" w:firstLineChars="200"/>
        <w:rPr>
          <w:rFonts w:ascii="黑体" w:hAnsi="黑体" w:eastAsia="黑体" w:cs="仿宋_GB2312"/>
          <w:bCs/>
          <w:sz w:val="32"/>
          <w:szCs w:val="32"/>
        </w:rPr>
      </w:pPr>
      <w:r>
        <w:rPr>
          <w:rFonts w:hint="eastAsia" w:ascii="黑体" w:hAnsi="黑体" w:eastAsia="黑体" w:cs="仿宋_GB2312"/>
          <w:bCs/>
          <w:sz w:val="32"/>
          <w:szCs w:val="32"/>
        </w:rPr>
        <w:t>一、活动主题</w:t>
      </w:r>
    </w:p>
    <w:p>
      <w:pPr>
        <w:snapToGrid w:val="0"/>
        <w:spacing w:line="560" w:lineRule="exact"/>
        <w:ind w:firstLine="640" w:firstLineChars="200"/>
        <w:rPr>
          <w:rFonts w:ascii="仿宋_GB2312" w:hAnsi="Calibri" w:eastAsia="仿宋_GB2312"/>
          <w:color w:val="000000"/>
          <w:sz w:val="32"/>
          <w:szCs w:val="32"/>
        </w:rPr>
      </w:pPr>
      <w:r>
        <w:rPr>
          <w:rFonts w:hint="eastAsia" w:ascii="仿宋_GB2312" w:hAnsi="仿宋" w:eastAsia="仿宋_GB2312"/>
          <w:color w:val="000000"/>
          <w:sz w:val="32"/>
          <w:szCs w:val="32"/>
        </w:rPr>
        <w:t xml:space="preserve">青春领航脱贫攻坚 </w:t>
      </w:r>
      <w:r>
        <w:rPr>
          <w:rFonts w:ascii="仿宋_GB2312" w:hAnsi="仿宋" w:eastAsia="仿宋_GB2312"/>
          <w:color w:val="000000"/>
          <w:sz w:val="32"/>
          <w:szCs w:val="32"/>
        </w:rPr>
        <w:t xml:space="preserve"> </w:t>
      </w:r>
      <w:r>
        <w:rPr>
          <w:rFonts w:hint="eastAsia" w:ascii="仿宋_GB2312" w:hAnsi="仿宋" w:eastAsia="仿宋_GB2312"/>
          <w:color w:val="000000"/>
          <w:sz w:val="32"/>
          <w:szCs w:val="32"/>
        </w:rPr>
        <w:t>红色筑梦创业人生</w:t>
      </w:r>
    </w:p>
    <w:p>
      <w:pPr>
        <w:snapToGrid w:val="0"/>
        <w:spacing w:line="540" w:lineRule="exact"/>
        <w:ind w:firstLine="640" w:firstLineChars="200"/>
        <w:rPr>
          <w:rFonts w:ascii="黑体" w:hAnsi="黑体" w:eastAsia="黑体" w:cs="仿宋_GB2312"/>
          <w:bCs/>
          <w:sz w:val="32"/>
          <w:szCs w:val="32"/>
        </w:rPr>
      </w:pPr>
      <w:r>
        <w:rPr>
          <w:rFonts w:hint="eastAsia" w:ascii="黑体" w:hAnsi="黑体" w:eastAsia="黑体" w:cs="仿宋_GB2312"/>
          <w:bCs/>
          <w:sz w:val="32"/>
          <w:szCs w:val="32"/>
        </w:rPr>
        <w:t>二、主要目标</w:t>
      </w:r>
    </w:p>
    <w:p>
      <w:pPr>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深入贯彻落实习近平总书记给第三届中国“互联网+”大学生创新创业大赛“青年红色筑梦之旅”的大学生的重要回信精神，大力弘扬伟大改革开放精神，鼓励青年“敢闯敢试、敢为天下先”，走进革命老区、偏远山区和城乡社区，聚焦脱贫攻坚，用创新创业的生动实践书写无愧于时代的壮丽篇章。</w:t>
      </w:r>
    </w:p>
    <w:p>
      <w:pPr>
        <w:snapToGrid w:val="0"/>
        <w:spacing w:line="540" w:lineRule="exact"/>
        <w:ind w:firstLine="640" w:firstLineChars="200"/>
        <w:rPr>
          <w:rFonts w:ascii="黑体" w:hAnsi="黑体" w:eastAsia="黑体" w:cs="仿宋_GB2312"/>
          <w:bCs/>
          <w:sz w:val="32"/>
          <w:szCs w:val="32"/>
        </w:rPr>
      </w:pPr>
      <w:r>
        <w:rPr>
          <w:rFonts w:hint="eastAsia" w:ascii="黑体" w:hAnsi="黑体" w:eastAsia="黑体" w:cs="仿宋_GB2312"/>
          <w:bCs/>
          <w:sz w:val="32"/>
          <w:szCs w:val="32"/>
        </w:rPr>
        <w:t>三、主要活动与时间安排</w:t>
      </w:r>
    </w:p>
    <w:p>
      <w:pPr>
        <w:snapToGrid w:val="0"/>
        <w:spacing w:line="560" w:lineRule="exact"/>
        <w:ind w:firstLine="643" w:firstLineChars="200"/>
        <w:rPr>
          <w:rFonts w:ascii="楷体_GB2312" w:hAnsi="仿宋" w:eastAsia="楷体_GB2312"/>
          <w:b/>
          <w:color w:val="000000"/>
          <w:sz w:val="32"/>
          <w:szCs w:val="32"/>
        </w:rPr>
      </w:pPr>
      <w:r>
        <w:rPr>
          <w:rFonts w:hint="eastAsia" w:ascii="楷体_GB2312" w:hAnsi="仿宋" w:eastAsia="楷体_GB2312"/>
          <w:b/>
          <w:color w:val="000000"/>
          <w:sz w:val="32"/>
          <w:szCs w:val="32"/>
        </w:rPr>
        <w:t>（一）制定方案（2020年</w:t>
      </w:r>
      <w:r>
        <w:rPr>
          <w:rFonts w:ascii="楷体_GB2312" w:hAnsi="仿宋" w:eastAsia="楷体_GB2312"/>
          <w:b/>
          <w:color w:val="000000"/>
          <w:sz w:val="32"/>
          <w:szCs w:val="32"/>
        </w:rPr>
        <w:t>6</w:t>
      </w:r>
      <w:r>
        <w:rPr>
          <w:rFonts w:hint="eastAsia" w:ascii="楷体_GB2312" w:hAnsi="仿宋" w:eastAsia="楷体_GB2312"/>
          <w:b/>
          <w:color w:val="000000"/>
          <w:sz w:val="32"/>
          <w:szCs w:val="32"/>
        </w:rPr>
        <w:t>月）</w:t>
      </w:r>
    </w:p>
    <w:p>
      <w:pPr>
        <w:snapToGri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各省级教育行政部门要聚焦坚决打赢脱贫攻坚战，全面</w:t>
      </w:r>
      <w:bookmarkStart w:id="0" w:name="_GoBack"/>
      <w:bookmarkEnd w:id="0"/>
      <w:r>
        <w:rPr>
          <w:rFonts w:hint="eastAsia" w:ascii="仿宋_GB2312" w:hAnsi="仿宋" w:eastAsia="仿宋_GB2312"/>
          <w:color w:val="000000"/>
          <w:sz w:val="32"/>
          <w:szCs w:val="32"/>
        </w:rPr>
        <w:t>建成小康社会，围绕做好社区创业、乡村振兴、环境保护等制定本地2020年“青年红色筑梦之旅”活动方案。跟踪调研往届“青年红色筑梦之旅”活动项目进展情况，为参与活动的本届及往届团队创造项目落地环境。活动方案要明确活动时间、地点、规模、形式、支持条件等内容，并于</w:t>
      </w:r>
      <w:r>
        <w:rPr>
          <w:rFonts w:ascii="仿宋_GB2312" w:hAnsi="仿宋" w:eastAsia="仿宋_GB2312"/>
          <w:color w:val="000000"/>
          <w:sz w:val="32"/>
          <w:szCs w:val="32"/>
        </w:rPr>
        <w:t>6</w:t>
      </w:r>
      <w:r>
        <w:rPr>
          <w:rFonts w:hint="eastAsia" w:ascii="仿宋_GB2312" w:hAnsi="仿宋" w:eastAsia="仿宋_GB2312"/>
          <w:color w:val="000000"/>
          <w:sz w:val="32"/>
          <w:szCs w:val="32"/>
        </w:rPr>
        <w:t>月底前报送大赛组委会（邮箱：internetplus</w:t>
      </w:r>
      <w:r>
        <w:rPr>
          <w:rFonts w:ascii="仿宋_GB2312" w:hAnsi="仿宋" w:eastAsia="仿宋_GB2312"/>
          <w:color w:val="000000"/>
          <w:sz w:val="32"/>
          <w:szCs w:val="32"/>
        </w:rPr>
        <w:t>@moe.edu.cn</w:t>
      </w:r>
      <w:r>
        <w:rPr>
          <w:rFonts w:hint="eastAsia" w:ascii="仿宋_GB2312" w:hAnsi="仿宋" w:eastAsia="仿宋_GB2312"/>
          <w:color w:val="000000"/>
          <w:sz w:val="32"/>
          <w:szCs w:val="32"/>
        </w:rPr>
        <w:t>）。</w:t>
      </w:r>
    </w:p>
    <w:p>
      <w:pPr>
        <w:snapToGrid w:val="0"/>
        <w:spacing w:line="560" w:lineRule="exact"/>
        <w:ind w:firstLine="643" w:firstLineChars="200"/>
        <w:rPr>
          <w:rFonts w:ascii="楷体_GB2312" w:hAnsi="仿宋" w:eastAsia="楷体_GB2312"/>
          <w:b/>
          <w:color w:val="000000"/>
          <w:sz w:val="32"/>
          <w:szCs w:val="32"/>
        </w:rPr>
      </w:pPr>
      <w:r>
        <w:rPr>
          <w:rFonts w:hint="eastAsia" w:ascii="楷体_GB2312" w:hAnsi="仿宋" w:eastAsia="楷体_GB2312"/>
          <w:b/>
          <w:color w:val="000000"/>
          <w:sz w:val="32"/>
          <w:szCs w:val="32"/>
        </w:rPr>
        <w:t>（二）启动仪式（2020年</w:t>
      </w:r>
      <w:r>
        <w:rPr>
          <w:rFonts w:ascii="楷体_GB2312" w:hAnsi="仿宋" w:eastAsia="楷体_GB2312"/>
          <w:b/>
          <w:color w:val="000000"/>
          <w:sz w:val="32"/>
          <w:szCs w:val="32"/>
        </w:rPr>
        <w:t>6</w:t>
      </w:r>
      <w:r>
        <w:rPr>
          <w:rFonts w:hint="eastAsia" w:ascii="楷体_GB2312" w:hAnsi="仿宋" w:eastAsia="楷体_GB2312"/>
          <w:b/>
          <w:color w:val="000000"/>
          <w:sz w:val="32"/>
          <w:szCs w:val="32"/>
        </w:rPr>
        <w:t>月）</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大赛组委会将于</w:t>
      </w:r>
      <w:r>
        <w:rPr>
          <w:rFonts w:ascii="仿宋_GB2312" w:hAnsi="Calibri" w:eastAsia="仿宋_GB2312"/>
          <w:color w:val="000000"/>
          <w:sz w:val="32"/>
          <w:szCs w:val="36"/>
        </w:rPr>
        <w:t>6</w:t>
      </w:r>
      <w:r>
        <w:rPr>
          <w:rFonts w:hint="eastAsia" w:ascii="仿宋_GB2312" w:hAnsi="Calibri" w:eastAsia="仿宋_GB2312"/>
          <w:color w:val="000000"/>
          <w:sz w:val="32"/>
          <w:szCs w:val="36"/>
        </w:rPr>
        <w:t>月在广东省深圳市举行</w:t>
      </w:r>
      <w:r>
        <w:rPr>
          <w:rFonts w:ascii="仿宋_GB2312" w:hAnsi="Calibri" w:eastAsia="仿宋_GB2312"/>
          <w:color w:val="000000"/>
          <w:sz w:val="32"/>
          <w:szCs w:val="36"/>
        </w:rPr>
        <w:t>2020</w:t>
      </w:r>
      <w:r>
        <w:rPr>
          <w:rFonts w:hint="eastAsia" w:ascii="仿宋_GB2312" w:hAnsi="Calibri" w:eastAsia="仿宋_GB2312"/>
          <w:color w:val="000000"/>
          <w:sz w:val="32"/>
          <w:szCs w:val="36"/>
        </w:rPr>
        <w:t>年“青年红色筑梦之旅”活动全国启动仪式，重温改革开放奋进之路，</w:t>
      </w:r>
      <w:r>
        <w:rPr>
          <w:rFonts w:hint="eastAsia" w:ascii="仿宋_GB2312" w:hAnsi="仿宋" w:eastAsia="仿宋_GB2312"/>
          <w:color w:val="000000"/>
          <w:sz w:val="32"/>
          <w:szCs w:val="32"/>
        </w:rPr>
        <w:t>聚焦52个未摘帽贫困县脱贫攻坚，</w:t>
      </w:r>
      <w:r>
        <w:rPr>
          <w:rFonts w:hint="eastAsia" w:ascii="仿宋_GB2312" w:hAnsi="Calibri" w:eastAsia="仿宋_GB2312"/>
          <w:color w:val="000000"/>
          <w:sz w:val="32"/>
          <w:szCs w:val="36"/>
        </w:rPr>
        <w:t>展示在全面建成小康社会征途中敢闯敢为的青年力量。启动仪式将采用线上线下同步，线上为主的方式进行，并启动淘宝直播、天猫校园线上“青年红色筑梦之旅”专区。（详细安排另行通知）。</w:t>
      </w:r>
    </w:p>
    <w:p>
      <w:pPr>
        <w:snapToGrid w:val="0"/>
        <w:spacing w:line="560" w:lineRule="exact"/>
        <w:ind w:firstLine="643" w:firstLineChars="200"/>
        <w:rPr>
          <w:rFonts w:eastAsia="楷体_GB2312" w:asciiTheme="minorHAnsi" w:hAnsiTheme="minorHAnsi"/>
          <w:b/>
          <w:color w:val="000000"/>
          <w:sz w:val="32"/>
          <w:szCs w:val="32"/>
        </w:rPr>
      </w:pPr>
      <w:r>
        <w:rPr>
          <w:rFonts w:hint="eastAsia" w:ascii="楷体_GB2312" w:hAnsi="仿宋" w:eastAsia="楷体_GB2312"/>
          <w:b/>
          <w:color w:val="000000"/>
          <w:sz w:val="32"/>
          <w:szCs w:val="32"/>
        </w:rPr>
        <w:t>（三）活动报名（2020年</w:t>
      </w:r>
      <w:r>
        <w:rPr>
          <w:rFonts w:ascii="楷体_GB2312" w:hAnsi="仿宋" w:eastAsia="楷体_GB2312"/>
          <w:b/>
          <w:color w:val="000000"/>
          <w:sz w:val="32"/>
          <w:szCs w:val="32"/>
        </w:rPr>
        <w:t>6</w:t>
      </w:r>
      <w:r>
        <w:rPr>
          <w:rFonts w:hint="eastAsia" w:ascii="楷体_GB2312" w:hAnsi="仿宋" w:eastAsia="楷体_GB2312"/>
          <w:b/>
          <w:color w:val="000000"/>
          <w:sz w:val="32"/>
          <w:szCs w:val="32"/>
        </w:rPr>
        <w:t>—8月）</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各省级教育行政部门要积极挖掘本地优质创新创业项目参与活动，组织团队登录“全国大学生创业服务网”（cy.ncss.cn）或微信公众号（名称为“全国大学生创业服务网”或“中国互联网</w:t>
      </w:r>
      <w:r>
        <w:rPr>
          <w:rFonts w:hint="eastAsia" w:ascii="仿宋_GB2312" w:hAnsi="华文中宋" w:eastAsia="仿宋_GB2312"/>
          <w:color w:val="000000"/>
          <w:sz w:val="32"/>
          <w:szCs w:val="32"/>
        </w:rPr>
        <w:t>十</w:t>
      </w:r>
      <w:r>
        <w:rPr>
          <w:rFonts w:hint="eastAsia" w:ascii="仿宋_GB2312" w:hAnsi="Calibri" w:eastAsia="仿宋_GB2312"/>
          <w:color w:val="000000"/>
          <w:sz w:val="32"/>
          <w:szCs w:val="36"/>
        </w:rPr>
        <w:t>大学生创新创业大赛”）进行报名</w:t>
      </w:r>
      <w:r>
        <w:rPr>
          <w:rFonts w:ascii="仿宋_GB2312" w:hAnsi="Calibri" w:eastAsia="仿宋_GB2312"/>
          <w:color w:val="000000"/>
          <w:sz w:val="32"/>
          <w:szCs w:val="36"/>
        </w:rPr>
        <w:t>，</w:t>
      </w:r>
      <w:r>
        <w:rPr>
          <w:rFonts w:hint="eastAsia" w:ascii="仿宋_GB2312" w:hAnsi="Calibri" w:eastAsia="仿宋_GB2312"/>
          <w:color w:val="000000"/>
          <w:sz w:val="32"/>
          <w:szCs w:val="36"/>
        </w:rPr>
        <w:t>报名</w:t>
      </w:r>
      <w:r>
        <w:rPr>
          <w:rFonts w:ascii="仿宋_GB2312" w:hAnsi="Calibri" w:eastAsia="仿宋_GB2312"/>
          <w:color w:val="000000"/>
          <w:sz w:val="32"/>
          <w:szCs w:val="36"/>
        </w:rPr>
        <w:t>系统开放时间为6月11</w:t>
      </w:r>
      <w:r>
        <w:rPr>
          <w:rFonts w:hint="eastAsia" w:ascii="仿宋_GB2312" w:hAnsi="Calibri" w:eastAsia="仿宋_GB2312"/>
          <w:color w:val="000000"/>
          <w:sz w:val="32"/>
          <w:szCs w:val="36"/>
        </w:rPr>
        <w:t>日至8月1</w:t>
      </w:r>
      <w:r>
        <w:rPr>
          <w:rFonts w:ascii="仿宋_GB2312" w:hAnsi="Calibri" w:eastAsia="仿宋_GB2312"/>
          <w:color w:val="000000"/>
          <w:sz w:val="32"/>
          <w:szCs w:val="36"/>
        </w:rPr>
        <w:t>5</w:t>
      </w:r>
      <w:r>
        <w:rPr>
          <w:rFonts w:hint="eastAsia" w:ascii="仿宋_GB2312" w:hAnsi="Calibri" w:eastAsia="仿宋_GB2312"/>
          <w:color w:val="000000"/>
          <w:sz w:val="32"/>
          <w:szCs w:val="36"/>
        </w:rPr>
        <w:t>日。</w:t>
      </w:r>
    </w:p>
    <w:p>
      <w:pPr>
        <w:snapToGrid w:val="0"/>
        <w:spacing w:line="560" w:lineRule="exact"/>
        <w:ind w:firstLine="643" w:firstLineChars="200"/>
        <w:rPr>
          <w:rFonts w:ascii="楷体_GB2312" w:hAnsi="仿宋" w:eastAsia="楷体_GB2312"/>
          <w:b/>
          <w:color w:val="000000"/>
          <w:sz w:val="32"/>
          <w:szCs w:val="32"/>
        </w:rPr>
      </w:pPr>
      <w:r>
        <w:rPr>
          <w:rFonts w:hint="eastAsia" w:ascii="楷体_GB2312" w:hAnsi="仿宋" w:eastAsia="楷体_GB2312"/>
          <w:b/>
          <w:color w:val="000000"/>
          <w:sz w:val="32"/>
          <w:szCs w:val="32"/>
        </w:rPr>
        <w:t>（四）组织实施（2020年</w:t>
      </w:r>
      <w:r>
        <w:rPr>
          <w:rFonts w:ascii="楷体_GB2312" w:hAnsi="仿宋" w:eastAsia="楷体_GB2312"/>
          <w:b/>
          <w:color w:val="000000"/>
          <w:sz w:val="32"/>
          <w:szCs w:val="32"/>
        </w:rPr>
        <w:t>6</w:t>
      </w:r>
      <w:r>
        <w:rPr>
          <w:rFonts w:hint="eastAsia" w:ascii="楷体_GB2312" w:hAnsi="仿宋" w:eastAsia="楷体_GB2312"/>
          <w:b/>
          <w:color w:val="000000"/>
          <w:sz w:val="32"/>
          <w:szCs w:val="32"/>
        </w:rPr>
        <w:t>—9月）</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各省级教育行政部门负责组织本地的“青年红色筑梦之旅”活动，做好需求对接、培训、宣传等工作。特别是根据52个未摘帽贫困县的科技、农业、环保等方面需求，结合各高校大学生项目团队自身的优势，助力脱贫攻坚，支持大学生开展线上创业就业。</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高校要通过大学生创新创业训练计划项目、创新创业专项经费、师生共创、校地协同等多种形式，努力实现项目长期对接，推出一批帮扶品牌项目和帮扶示范区，发挥辐射带动作用。要积极争取相关部门、地方政府、行业企业、公益机构、投资机构等各方支持，通过政策倾斜、资金支持、设立公益基金等方式为活动提供保障。</w:t>
      </w:r>
    </w:p>
    <w:p>
      <w:pPr>
        <w:snapToGrid w:val="0"/>
        <w:spacing w:line="560" w:lineRule="exact"/>
        <w:ind w:firstLine="643" w:firstLineChars="200"/>
        <w:rPr>
          <w:rFonts w:ascii="楷体_GB2312" w:hAnsi="仿宋" w:eastAsia="楷体_GB2312"/>
          <w:b/>
          <w:color w:val="000000"/>
          <w:sz w:val="32"/>
          <w:szCs w:val="32"/>
        </w:rPr>
      </w:pPr>
      <w:r>
        <w:rPr>
          <w:rFonts w:hint="eastAsia" w:ascii="楷体_GB2312" w:hAnsi="仿宋" w:eastAsia="楷体_GB2312"/>
          <w:b/>
          <w:color w:val="000000"/>
          <w:sz w:val="32"/>
          <w:szCs w:val="32"/>
        </w:rPr>
        <w:t>（五）总结表彰（2020年9月）</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各地各高校要及时做好本次活动经验总结和成果宣传。大赛组委会将在全国总决赛期间举办“青年红色筑梦之旅”优秀成果展。</w:t>
      </w:r>
    </w:p>
    <w:p>
      <w:pPr>
        <w:snapToGrid w:val="0"/>
        <w:spacing w:line="540" w:lineRule="exact"/>
        <w:ind w:firstLine="640" w:firstLineChars="200"/>
        <w:rPr>
          <w:rFonts w:ascii="黑体" w:hAnsi="黑体" w:eastAsia="黑体" w:cs="仿宋_GB2312"/>
          <w:bCs/>
          <w:sz w:val="32"/>
          <w:szCs w:val="32"/>
        </w:rPr>
      </w:pPr>
      <w:r>
        <w:rPr>
          <w:rFonts w:hint="eastAsia" w:ascii="黑体" w:hAnsi="黑体" w:eastAsia="黑体" w:cs="仿宋_GB2312"/>
          <w:bCs/>
          <w:sz w:val="32"/>
          <w:szCs w:val="32"/>
        </w:rPr>
        <w:t>四、“青年红色筑梦之旅”赛道安排</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参加“青年红色筑梦之旅”活动的项目，如参加大赛，可自主选择参加“青年红色筑梦之旅”赛道或其他赛道比赛（只能选择参加一个赛道）。“青年红色筑梦之旅”赛道单列奖项、单独设置评审指标。</w:t>
      </w:r>
    </w:p>
    <w:p>
      <w:pPr>
        <w:snapToGrid w:val="0"/>
        <w:spacing w:line="560" w:lineRule="exact"/>
        <w:ind w:firstLine="643" w:firstLineChars="200"/>
        <w:rPr>
          <w:rFonts w:ascii="楷体_GB2312" w:hAnsi="仿宋" w:eastAsia="楷体_GB2312"/>
          <w:b/>
          <w:color w:val="000000"/>
          <w:sz w:val="32"/>
          <w:szCs w:val="32"/>
        </w:rPr>
      </w:pPr>
      <w:r>
        <w:rPr>
          <w:rFonts w:hint="eastAsia" w:ascii="楷体_GB2312" w:hAnsi="仿宋" w:eastAsia="楷体_GB2312"/>
          <w:b/>
          <w:color w:val="000000"/>
          <w:sz w:val="32"/>
          <w:szCs w:val="32"/>
        </w:rPr>
        <w:t>（一）参赛项目要求</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1.参加“青年红色筑梦之旅”赛道的项目应符合大赛参赛项目要求，同时在推进革命老区、贫困地区、城乡社区经济社会发展等方面有创新性、实效性和可持续性。</w:t>
      </w:r>
    </w:p>
    <w:p>
      <w:pPr>
        <w:snapToGrid w:val="0"/>
        <w:spacing w:line="540" w:lineRule="exact"/>
        <w:ind w:firstLine="640" w:firstLineChars="200"/>
        <w:rPr>
          <w:rFonts w:ascii="仿宋_GB2312" w:hAnsi="Calibri" w:eastAsia="仿宋_GB2312"/>
          <w:color w:val="000000"/>
          <w:sz w:val="32"/>
          <w:szCs w:val="36"/>
        </w:rPr>
      </w:pPr>
      <w:r>
        <w:rPr>
          <w:rFonts w:ascii="仿宋_GB2312" w:hAnsi="Calibri" w:eastAsia="仿宋_GB2312"/>
          <w:color w:val="000000"/>
          <w:sz w:val="32"/>
          <w:szCs w:val="36"/>
        </w:rPr>
        <w:t>2</w:t>
      </w:r>
      <w:r>
        <w:rPr>
          <w:rFonts w:hint="eastAsia" w:ascii="仿宋_GB2312" w:hAnsi="Calibri" w:eastAsia="仿宋_GB2312"/>
          <w:color w:val="000000"/>
          <w:sz w:val="32"/>
          <w:szCs w:val="36"/>
        </w:rPr>
        <w:t>.以团队为单位报名参赛。允许跨校组建团队，每个团队的参赛成员不少于3人，原则上不多于15人（含团队负责人），须为项目的实际核心成员。参赛团队所报参赛创业项目，须为本团队策划或经营的项目，不得借用他人项目参赛。</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3</w:t>
      </w:r>
      <w:r>
        <w:rPr>
          <w:rFonts w:ascii="仿宋_GB2312" w:hAnsi="Calibri" w:eastAsia="仿宋_GB2312"/>
          <w:color w:val="000000"/>
          <w:sz w:val="32"/>
          <w:szCs w:val="36"/>
        </w:rPr>
        <w:t>.</w:t>
      </w:r>
      <w:r>
        <w:rPr>
          <w:rFonts w:hint="eastAsia" w:ascii="仿宋_GB2312" w:hAnsi="Calibri" w:eastAsia="仿宋_GB2312"/>
          <w:color w:val="000000"/>
          <w:sz w:val="32"/>
          <w:szCs w:val="36"/>
        </w:rPr>
        <w:t>参赛申报人</w:t>
      </w:r>
      <w:r>
        <w:rPr>
          <w:rFonts w:ascii="仿宋_GB2312" w:hAnsi="Calibri" w:eastAsia="仿宋_GB2312"/>
          <w:color w:val="000000"/>
          <w:sz w:val="32"/>
          <w:szCs w:val="36"/>
        </w:rPr>
        <w:t>须</w:t>
      </w:r>
      <w:r>
        <w:rPr>
          <w:rFonts w:hint="eastAsia" w:ascii="仿宋_GB2312" w:hAnsi="Calibri" w:eastAsia="仿宋_GB2312"/>
          <w:color w:val="000000"/>
          <w:sz w:val="32"/>
          <w:szCs w:val="36"/>
        </w:rPr>
        <w:t>为团队负责人，</w:t>
      </w:r>
      <w:r>
        <w:rPr>
          <w:rFonts w:ascii="仿宋_GB2312" w:hAnsi="Calibri" w:eastAsia="仿宋_GB2312"/>
          <w:color w:val="000000"/>
          <w:sz w:val="32"/>
          <w:szCs w:val="36"/>
        </w:rPr>
        <w:t>须</w:t>
      </w:r>
      <w:r>
        <w:rPr>
          <w:rFonts w:hint="eastAsia" w:ascii="仿宋_GB2312" w:hAnsi="Calibri" w:eastAsia="仿宋_GB2312"/>
          <w:color w:val="000000"/>
          <w:sz w:val="32"/>
          <w:szCs w:val="36"/>
        </w:rPr>
        <w:t>为普通高等学校在校生（可为本专科生、研究生，不含在职生），或毕业5年以内的毕业生（2015年之后毕业的本专科生、研究生，不含在职生）。企业法人代表在大赛通知发布之日后进行变更的不予认可。</w:t>
      </w:r>
    </w:p>
    <w:p>
      <w:pPr>
        <w:snapToGrid w:val="0"/>
        <w:spacing w:line="540" w:lineRule="exact"/>
        <w:ind w:firstLine="640" w:firstLineChars="200"/>
        <w:rPr>
          <w:rFonts w:ascii="仿宋_GB2312" w:hAnsi="Calibri" w:eastAsia="仿宋_GB2312"/>
          <w:color w:val="000000"/>
          <w:sz w:val="32"/>
          <w:szCs w:val="36"/>
        </w:rPr>
      </w:pPr>
      <w:r>
        <w:rPr>
          <w:rFonts w:ascii="仿宋_GB2312" w:hAnsi="Calibri" w:eastAsia="仿宋_GB2312"/>
          <w:color w:val="000000"/>
          <w:sz w:val="32"/>
          <w:szCs w:val="36"/>
        </w:rPr>
        <w:t>4.</w:t>
      </w:r>
      <w:r>
        <w:rPr>
          <w:rFonts w:hint="eastAsia" w:ascii="仿宋_GB2312" w:hAnsi="Calibri" w:eastAsia="仿宋_GB2312"/>
          <w:color w:val="000000"/>
          <w:sz w:val="32"/>
          <w:szCs w:val="36"/>
        </w:rPr>
        <w:t>已获往届中国“互联网+”大学生创新创业大赛全国总决赛各赛道金奖和银奖项目，不可报名参加本届大赛。</w:t>
      </w:r>
    </w:p>
    <w:p>
      <w:pPr>
        <w:snapToGrid w:val="0"/>
        <w:spacing w:line="540" w:lineRule="exact"/>
        <w:ind w:firstLine="640" w:firstLineChars="200"/>
        <w:rPr>
          <w:rFonts w:ascii="仿宋_GB2312" w:hAnsi="Calibri" w:eastAsia="仿宋_GB2312"/>
          <w:color w:val="000000"/>
          <w:sz w:val="32"/>
          <w:szCs w:val="36"/>
        </w:rPr>
      </w:pPr>
      <w:r>
        <w:rPr>
          <w:rFonts w:ascii="仿宋_GB2312" w:hAnsi="Calibri" w:eastAsia="仿宋_GB2312"/>
          <w:color w:val="000000"/>
          <w:sz w:val="32"/>
          <w:szCs w:val="36"/>
        </w:rPr>
        <w:t>5.</w:t>
      </w:r>
      <w:r>
        <w:rPr>
          <w:rFonts w:hint="eastAsia" w:ascii="仿宋_GB2312" w:hAnsi="Calibri" w:eastAsia="仿宋_GB2312"/>
          <w:color w:val="000000"/>
          <w:sz w:val="32"/>
          <w:szCs w:val="36"/>
        </w:rPr>
        <w:t>没有参加本届“青年红色筑梦之旅”活动的项目不得参加“青年红色筑梦之旅”赛道比赛。</w:t>
      </w:r>
    </w:p>
    <w:p>
      <w:pPr>
        <w:snapToGrid w:val="0"/>
        <w:spacing w:line="540" w:lineRule="exact"/>
        <w:ind w:firstLine="640" w:firstLineChars="200"/>
        <w:rPr>
          <w:rFonts w:ascii="仿宋_GB2312" w:hAnsi="Calibri" w:eastAsia="仿宋_GB2312"/>
          <w:color w:val="000000"/>
          <w:sz w:val="32"/>
          <w:szCs w:val="36"/>
        </w:rPr>
      </w:pPr>
      <w:r>
        <w:rPr>
          <w:rFonts w:ascii="仿宋_GB2312" w:hAnsi="Calibri" w:eastAsia="仿宋_GB2312"/>
          <w:color w:val="000000"/>
          <w:sz w:val="32"/>
          <w:szCs w:val="36"/>
        </w:rPr>
        <w:t>6.</w:t>
      </w:r>
      <w:r>
        <w:rPr>
          <w:rFonts w:hint="eastAsia" w:ascii="仿宋_GB2312" w:hAnsi="Calibri" w:eastAsia="仿宋_GB2312"/>
          <w:color w:val="000000"/>
          <w:sz w:val="32"/>
          <w:szCs w:val="36"/>
        </w:rPr>
        <w:t>各省级教育行政部门、各有关学校负责审核参赛对象资格。</w:t>
      </w:r>
    </w:p>
    <w:p>
      <w:pPr>
        <w:snapToGrid w:val="0"/>
        <w:spacing w:line="560" w:lineRule="exact"/>
        <w:ind w:firstLine="643" w:firstLineChars="200"/>
        <w:rPr>
          <w:rFonts w:ascii="楷体_GB2312" w:hAnsi="仿宋" w:eastAsia="楷体_GB2312"/>
          <w:b/>
          <w:color w:val="000000"/>
          <w:sz w:val="32"/>
          <w:szCs w:val="32"/>
        </w:rPr>
      </w:pPr>
      <w:r>
        <w:rPr>
          <w:rFonts w:hint="eastAsia" w:ascii="楷体_GB2312" w:hAnsi="仿宋" w:eastAsia="楷体_GB2312"/>
          <w:b/>
          <w:color w:val="000000"/>
          <w:sz w:val="32"/>
          <w:szCs w:val="32"/>
        </w:rPr>
        <w:t>（二）参赛组别和对象</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根据项目性质和特点，分为公益组、商业组。</w:t>
      </w:r>
    </w:p>
    <w:p>
      <w:pPr>
        <w:snapToGrid w:val="0"/>
        <w:spacing w:line="540" w:lineRule="exact"/>
        <w:ind w:firstLine="643" w:firstLineChars="200"/>
        <w:rPr>
          <w:rFonts w:ascii="仿宋_GB2312" w:hAnsi="Calibri" w:eastAsia="仿宋_GB2312"/>
          <w:b/>
          <w:color w:val="000000"/>
          <w:sz w:val="32"/>
          <w:szCs w:val="36"/>
        </w:rPr>
      </w:pPr>
      <w:r>
        <w:rPr>
          <w:rFonts w:hint="eastAsia" w:ascii="仿宋_GB2312" w:hAnsi="Calibri" w:eastAsia="仿宋_GB2312"/>
          <w:b/>
          <w:color w:val="000000"/>
          <w:sz w:val="32"/>
          <w:szCs w:val="36"/>
        </w:rPr>
        <w:t>1.公益组</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（1）参赛项目以社会价值为导向，在公益服务领域具有较好的创意、产品或服务模式的创业计划和实践。</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（2）参赛申报主体为独立的公益项目或者社会组织，注册或未注册成立公益机构（或社会组织）的项目均可参赛。</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（3）师生共创的公益项目，若符合“青年红色筑梦之旅”赛道要求，可以参加该组。</w:t>
      </w:r>
    </w:p>
    <w:p>
      <w:pPr>
        <w:snapToGrid w:val="0"/>
        <w:spacing w:line="540" w:lineRule="exact"/>
        <w:ind w:firstLine="643" w:firstLineChars="200"/>
        <w:rPr>
          <w:rFonts w:ascii="仿宋_GB2312" w:hAnsi="Calibri" w:eastAsia="仿宋_GB2312"/>
          <w:b/>
          <w:color w:val="000000"/>
          <w:sz w:val="32"/>
          <w:szCs w:val="36"/>
        </w:rPr>
      </w:pPr>
      <w:r>
        <w:rPr>
          <w:rFonts w:hint="eastAsia" w:ascii="仿宋_GB2312" w:hAnsi="Calibri" w:eastAsia="仿宋_GB2312"/>
          <w:b/>
          <w:color w:val="000000"/>
          <w:sz w:val="32"/>
          <w:szCs w:val="36"/>
        </w:rPr>
        <w:t>2.商业组</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（1）参赛项目以商业手段解决农业农村和城乡社区发展的</w:t>
      </w:r>
      <w:r>
        <w:fldChar w:fldCharType="begin"/>
      </w:r>
      <w:r>
        <w:instrText xml:space="preserve"> HYPERLINK "https://wiki.mbalib.com/wiki/%E7%A4%BE%E4%BC%9A%E9%97%AE%E9%A2%98" \o "社会问题" </w:instrText>
      </w:r>
      <w:r>
        <w:fldChar w:fldCharType="separate"/>
      </w:r>
      <w:r>
        <w:rPr>
          <w:rFonts w:hint="eastAsia" w:ascii="仿宋_GB2312" w:hAnsi="Calibri" w:eastAsia="仿宋_GB2312"/>
          <w:color w:val="000000"/>
          <w:sz w:val="32"/>
          <w:szCs w:val="36"/>
        </w:rPr>
        <w:t>痛点问题</w:t>
      </w:r>
      <w:r>
        <w:rPr>
          <w:rFonts w:hint="eastAsia" w:ascii="仿宋_GB2312" w:hAnsi="Calibri" w:eastAsia="仿宋_GB2312"/>
          <w:color w:val="000000"/>
          <w:sz w:val="32"/>
          <w:szCs w:val="36"/>
        </w:rPr>
        <w:fldChar w:fldCharType="end"/>
      </w:r>
      <w:r>
        <w:rPr>
          <w:rFonts w:hint="eastAsia" w:ascii="仿宋_GB2312" w:hAnsi="Calibri" w:eastAsia="仿宋_GB2312"/>
          <w:color w:val="000000"/>
          <w:sz w:val="32"/>
          <w:szCs w:val="36"/>
        </w:rPr>
        <w:t>、助力精准扶贫和乡村振兴，实现经济价值和社会价值的融合。</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（2）注册或未注册成立公司的项目均可参赛。已完成工商登记注册参赛项目的股权结构中，企业法人代表的股权不得少于10%，参赛成员股权合计不得少于1/3。如已注册成立机构或公司，学生须为法人代表。</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（3）师生共创的商业项目不能参加“青年红色筑梦之旅”赛道，可参加高教主赛道。</w:t>
      </w:r>
    </w:p>
    <w:p>
      <w:pPr>
        <w:snapToGrid w:val="0"/>
        <w:spacing w:line="560" w:lineRule="exact"/>
        <w:ind w:firstLine="643" w:firstLineChars="200"/>
        <w:rPr>
          <w:rFonts w:ascii="楷体_GB2312" w:hAnsi="仿宋" w:eastAsia="楷体_GB2312"/>
          <w:b/>
          <w:color w:val="000000"/>
          <w:sz w:val="32"/>
          <w:szCs w:val="32"/>
        </w:rPr>
      </w:pPr>
      <w:r>
        <w:rPr>
          <w:rFonts w:hint="eastAsia" w:ascii="楷体_GB2312" w:hAnsi="仿宋" w:eastAsia="楷体_GB2312"/>
          <w:b/>
          <w:color w:val="000000"/>
          <w:sz w:val="32"/>
          <w:szCs w:val="32"/>
        </w:rPr>
        <w:t>（三）比赛赛制</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采用校级初赛、省级复赛、全国总决赛三级赛制。校级初赛由各高校负责</w:t>
      </w:r>
      <w:r>
        <w:rPr>
          <w:rFonts w:ascii="仿宋_GB2312" w:hAnsi="Calibri" w:eastAsia="仿宋_GB2312"/>
          <w:color w:val="000000"/>
          <w:sz w:val="32"/>
          <w:szCs w:val="36"/>
        </w:rPr>
        <w:t>组织</w:t>
      </w:r>
      <w:r>
        <w:rPr>
          <w:rFonts w:hint="eastAsia" w:ascii="仿宋_GB2312" w:hAnsi="Calibri" w:eastAsia="仿宋_GB2312"/>
          <w:color w:val="000000"/>
          <w:sz w:val="32"/>
          <w:szCs w:val="36"/>
        </w:rPr>
        <w:t>，省级复赛由各地负责</w:t>
      </w:r>
      <w:r>
        <w:rPr>
          <w:rFonts w:ascii="仿宋_GB2312" w:hAnsi="Calibri" w:eastAsia="仿宋_GB2312"/>
          <w:color w:val="000000"/>
          <w:sz w:val="32"/>
          <w:szCs w:val="36"/>
        </w:rPr>
        <w:t>组织</w:t>
      </w:r>
      <w:r>
        <w:rPr>
          <w:rFonts w:hint="eastAsia" w:ascii="仿宋_GB2312" w:hAnsi="Calibri" w:eastAsia="仿宋_GB2312"/>
          <w:color w:val="000000"/>
          <w:sz w:val="32"/>
          <w:szCs w:val="36"/>
        </w:rPr>
        <w:t>，全国总决赛由各地</w:t>
      </w:r>
      <w:r>
        <w:rPr>
          <w:rFonts w:ascii="仿宋_GB2312" w:hAnsi="Calibri" w:eastAsia="仿宋_GB2312"/>
          <w:color w:val="000000"/>
          <w:sz w:val="32"/>
          <w:szCs w:val="36"/>
        </w:rPr>
        <w:t>按照</w:t>
      </w:r>
      <w:r>
        <w:rPr>
          <w:rFonts w:hint="eastAsia" w:ascii="仿宋_GB2312" w:hAnsi="Calibri" w:eastAsia="仿宋_GB2312"/>
          <w:color w:val="000000"/>
          <w:sz w:val="32"/>
          <w:szCs w:val="36"/>
        </w:rPr>
        <w:t>大赛组委会确定的配额择优遴选推荐项目</w:t>
      </w:r>
      <w:r>
        <w:rPr>
          <w:rFonts w:ascii="仿宋_GB2312" w:hAnsi="Calibri" w:eastAsia="仿宋_GB2312"/>
          <w:color w:val="000000"/>
          <w:sz w:val="32"/>
          <w:szCs w:val="36"/>
        </w:rPr>
        <w:t>。</w:t>
      </w:r>
      <w:r>
        <w:rPr>
          <w:rFonts w:hint="eastAsia" w:ascii="仿宋_GB2312" w:hAnsi="Calibri" w:eastAsia="仿宋_GB2312"/>
          <w:color w:val="000000"/>
          <w:sz w:val="32"/>
          <w:szCs w:val="36"/>
        </w:rPr>
        <w:t>大赛组委会将</w:t>
      </w:r>
      <w:r>
        <w:rPr>
          <w:rFonts w:ascii="仿宋_GB2312" w:hAnsi="Calibri" w:eastAsia="仿宋_GB2312"/>
          <w:color w:val="000000"/>
          <w:sz w:val="32"/>
          <w:szCs w:val="36"/>
        </w:rPr>
        <w:t>综合考虑</w:t>
      </w:r>
      <w:r>
        <w:rPr>
          <w:rFonts w:hint="eastAsia" w:ascii="仿宋_GB2312" w:hAnsi="Calibri" w:eastAsia="仿宋_GB2312"/>
          <w:color w:val="000000"/>
          <w:sz w:val="32"/>
          <w:szCs w:val="36"/>
        </w:rPr>
        <w:t>各地报名团队数、参赛学校数和创新创业教育工作情况</w:t>
      </w:r>
      <w:r>
        <w:rPr>
          <w:rFonts w:ascii="仿宋_GB2312" w:hAnsi="Calibri" w:eastAsia="仿宋_GB2312"/>
          <w:color w:val="000000"/>
          <w:sz w:val="32"/>
          <w:szCs w:val="36"/>
        </w:rPr>
        <w:t>等</w:t>
      </w:r>
      <w:r>
        <w:rPr>
          <w:rFonts w:hint="eastAsia" w:ascii="仿宋_GB2312" w:hAnsi="Calibri" w:eastAsia="仿宋_GB2312"/>
          <w:color w:val="000000"/>
          <w:sz w:val="32"/>
          <w:szCs w:val="36"/>
        </w:rPr>
        <w:t>因素</w:t>
      </w:r>
      <w:r>
        <w:rPr>
          <w:rFonts w:ascii="仿宋_GB2312" w:hAnsi="Calibri" w:eastAsia="仿宋_GB2312"/>
          <w:color w:val="000000"/>
          <w:sz w:val="32"/>
          <w:szCs w:val="36"/>
        </w:rPr>
        <w:t>分配全国总决赛</w:t>
      </w:r>
      <w:r>
        <w:rPr>
          <w:rFonts w:hint="eastAsia" w:ascii="仿宋_GB2312" w:hAnsi="Calibri" w:eastAsia="仿宋_GB2312"/>
          <w:color w:val="000000"/>
          <w:sz w:val="32"/>
          <w:szCs w:val="36"/>
        </w:rPr>
        <w:t>名额。每所学校入选全国总决赛“青年红色筑梦之旅”赛道的团队总数不超过</w:t>
      </w:r>
      <w:r>
        <w:rPr>
          <w:rFonts w:ascii="仿宋_GB2312" w:hAnsi="Calibri" w:eastAsia="仿宋_GB2312"/>
          <w:color w:val="000000"/>
          <w:sz w:val="32"/>
          <w:szCs w:val="36"/>
        </w:rPr>
        <w:t>2</w:t>
      </w:r>
      <w:r>
        <w:rPr>
          <w:rFonts w:hint="eastAsia" w:ascii="仿宋_GB2312" w:hAnsi="Calibri" w:eastAsia="仿宋_GB2312"/>
          <w:color w:val="000000"/>
          <w:sz w:val="32"/>
          <w:szCs w:val="36"/>
        </w:rPr>
        <w:t>个。</w:t>
      </w:r>
    </w:p>
    <w:p>
      <w:pPr>
        <w:snapToGrid w:val="0"/>
        <w:spacing w:line="53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全国共产生</w:t>
      </w:r>
      <w:r>
        <w:rPr>
          <w:rFonts w:ascii="仿宋_GB2312" w:hAnsi="Calibri" w:eastAsia="仿宋_GB2312"/>
          <w:color w:val="000000"/>
          <w:sz w:val="32"/>
          <w:szCs w:val="36"/>
        </w:rPr>
        <w:t>2</w:t>
      </w:r>
      <w:r>
        <w:rPr>
          <w:rFonts w:hint="eastAsia" w:ascii="仿宋_GB2312" w:hAnsi="Calibri" w:eastAsia="仿宋_GB2312"/>
          <w:color w:val="000000"/>
          <w:sz w:val="32"/>
          <w:szCs w:val="36"/>
        </w:rPr>
        <w:t>00个项目入围全国总决赛“青年红色筑梦之旅”赛道，通过网上评审，产生</w:t>
      </w:r>
      <w:r>
        <w:rPr>
          <w:rFonts w:ascii="仿宋_GB2312" w:hAnsi="Calibri" w:eastAsia="仿宋_GB2312"/>
          <w:color w:val="000000"/>
          <w:sz w:val="32"/>
          <w:szCs w:val="36"/>
        </w:rPr>
        <w:t>6</w:t>
      </w:r>
      <w:r>
        <w:rPr>
          <w:rFonts w:hint="eastAsia" w:ascii="仿宋_GB2312" w:hAnsi="Calibri" w:eastAsia="仿宋_GB2312"/>
          <w:color w:val="000000"/>
          <w:sz w:val="32"/>
          <w:szCs w:val="36"/>
        </w:rPr>
        <w:t>0个项目进入全国总决赛现场比赛。</w:t>
      </w:r>
      <w:r>
        <w:rPr>
          <w:rFonts w:ascii="仿宋_GB2312" w:hAnsi="Calibri" w:eastAsia="仿宋_GB2312"/>
          <w:color w:val="000000"/>
          <w:sz w:val="32"/>
          <w:szCs w:val="36"/>
        </w:rPr>
        <w:t xml:space="preserve"> </w:t>
      </w:r>
    </w:p>
    <w:p>
      <w:pPr>
        <w:snapToGrid w:val="0"/>
        <w:spacing w:line="530" w:lineRule="exact"/>
        <w:ind w:firstLine="643" w:firstLineChars="200"/>
        <w:rPr>
          <w:rFonts w:ascii="楷体_GB2312" w:hAnsi="仿宋" w:eastAsia="楷体_GB2312"/>
          <w:b/>
          <w:color w:val="000000"/>
          <w:sz w:val="32"/>
          <w:szCs w:val="32"/>
        </w:rPr>
      </w:pPr>
      <w:r>
        <w:rPr>
          <w:rFonts w:hint="eastAsia" w:ascii="楷体_GB2312" w:hAnsi="仿宋" w:eastAsia="楷体_GB2312"/>
          <w:b/>
          <w:color w:val="000000"/>
          <w:sz w:val="32"/>
          <w:szCs w:val="32"/>
        </w:rPr>
        <w:t>（四）</w:t>
      </w:r>
      <w:r>
        <w:rPr>
          <w:rFonts w:ascii="楷体_GB2312" w:hAnsi="仿宋" w:eastAsia="楷体_GB2312"/>
          <w:b/>
          <w:color w:val="000000"/>
          <w:sz w:val="32"/>
          <w:szCs w:val="32"/>
        </w:rPr>
        <w:t>奖项</w:t>
      </w:r>
      <w:r>
        <w:rPr>
          <w:rFonts w:hint="eastAsia" w:ascii="楷体_GB2312" w:hAnsi="仿宋" w:eastAsia="楷体_GB2312"/>
          <w:b/>
          <w:color w:val="000000"/>
          <w:sz w:val="32"/>
          <w:szCs w:val="32"/>
        </w:rPr>
        <w:t>设置</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设“青年红色筑梦之旅”赛道金奖</w:t>
      </w:r>
      <w:r>
        <w:rPr>
          <w:rFonts w:ascii="仿宋_GB2312" w:hAnsi="Calibri" w:eastAsia="仿宋_GB2312"/>
          <w:color w:val="000000"/>
          <w:sz w:val="32"/>
          <w:szCs w:val="36"/>
        </w:rPr>
        <w:t>15</w:t>
      </w:r>
      <w:r>
        <w:rPr>
          <w:rFonts w:hint="eastAsia" w:ascii="仿宋_GB2312" w:hAnsi="Calibri" w:eastAsia="仿宋_GB2312"/>
          <w:color w:val="000000"/>
          <w:sz w:val="32"/>
          <w:szCs w:val="36"/>
        </w:rPr>
        <w:t>个、银奖</w:t>
      </w:r>
      <w:r>
        <w:rPr>
          <w:rFonts w:ascii="仿宋_GB2312" w:hAnsi="Calibri" w:eastAsia="仿宋_GB2312"/>
          <w:color w:val="000000"/>
          <w:sz w:val="32"/>
          <w:szCs w:val="36"/>
        </w:rPr>
        <w:t>45</w:t>
      </w:r>
      <w:r>
        <w:rPr>
          <w:rFonts w:hint="eastAsia" w:ascii="仿宋_GB2312" w:hAnsi="Calibri" w:eastAsia="仿宋_GB2312"/>
          <w:color w:val="000000"/>
          <w:sz w:val="32"/>
          <w:szCs w:val="36"/>
        </w:rPr>
        <w:t>个、铜奖</w:t>
      </w:r>
      <w:r>
        <w:rPr>
          <w:rFonts w:ascii="仿宋_GB2312" w:hAnsi="Calibri" w:eastAsia="仿宋_GB2312"/>
          <w:color w:val="000000"/>
          <w:sz w:val="32"/>
          <w:szCs w:val="36"/>
        </w:rPr>
        <w:t>140</w:t>
      </w:r>
      <w:r>
        <w:rPr>
          <w:rFonts w:hint="eastAsia" w:ascii="仿宋_GB2312" w:hAnsi="Calibri" w:eastAsia="仿宋_GB2312"/>
          <w:color w:val="000000"/>
          <w:sz w:val="32"/>
          <w:szCs w:val="36"/>
        </w:rPr>
        <w:t>个。设“乡村振兴奖”“社区治理奖”“逐梦小康奖”等单项奖若干，奖励对农村地区教育、科技、农业、医疗、扶贫以及城乡社区治理等方面有突出贡献的项目。</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设“青年红色筑梦之旅”高校</w:t>
      </w:r>
      <w:r>
        <w:rPr>
          <w:rFonts w:ascii="仿宋_GB2312" w:hAnsi="Calibri" w:eastAsia="仿宋_GB2312"/>
          <w:color w:val="000000"/>
          <w:sz w:val="32"/>
          <w:szCs w:val="36"/>
        </w:rPr>
        <w:t>集体奖</w:t>
      </w:r>
      <w:r>
        <w:rPr>
          <w:rFonts w:hint="eastAsia" w:ascii="仿宋_GB2312" w:hAnsi="Calibri" w:eastAsia="仿宋_GB2312"/>
          <w:color w:val="000000"/>
          <w:sz w:val="32"/>
          <w:szCs w:val="36"/>
        </w:rPr>
        <w:t>20个、省市优秀</w:t>
      </w:r>
      <w:r>
        <w:rPr>
          <w:rFonts w:ascii="仿宋_GB2312" w:hAnsi="Calibri" w:eastAsia="仿宋_GB2312"/>
          <w:color w:val="000000"/>
          <w:sz w:val="32"/>
          <w:szCs w:val="36"/>
        </w:rPr>
        <w:t>组织奖</w:t>
      </w:r>
      <w:r>
        <w:rPr>
          <w:rFonts w:hint="eastAsia" w:ascii="仿宋_GB2312" w:hAnsi="Calibri" w:eastAsia="仿宋_GB2312"/>
          <w:color w:val="000000"/>
          <w:sz w:val="32"/>
          <w:szCs w:val="36"/>
        </w:rPr>
        <w:t>8个和优秀创新创业导师若干名。获奖单位</w:t>
      </w:r>
      <w:r>
        <w:rPr>
          <w:rFonts w:ascii="仿宋_GB2312" w:hAnsi="Calibri" w:eastAsia="仿宋_GB2312"/>
          <w:color w:val="000000"/>
          <w:sz w:val="32"/>
          <w:szCs w:val="36"/>
        </w:rPr>
        <w:t>颁发</w:t>
      </w:r>
      <w:r>
        <w:rPr>
          <w:rFonts w:hint="eastAsia" w:ascii="仿宋_GB2312" w:hAnsi="Calibri" w:eastAsia="仿宋_GB2312"/>
          <w:color w:val="000000"/>
          <w:sz w:val="32"/>
          <w:szCs w:val="36"/>
        </w:rPr>
        <w:t>获奖证书</w:t>
      </w:r>
      <w:r>
        <w:rPr>
          <w:rFonts w:ascii="仿宋_GB2312" w:hAnsi="Calibri" w:eastAsia="仿宋_GB2312"/>
          <w:color w:val="000000"/>
          <w:sz w:val="32"/>
          <w:szCs w:val="36"/>
        </w:rPr>
        <w:t>及奖牌</w:t>
      </w:r>
      <w:r>
        <w:rPr>
          <w:rFonts w:hint="eastAsia" w:ascii="仿宋_GB2312" w:hAnsi="Calibri" w:eastAsia="仿宋_GB2312"/>
          <w:color w:val="000000"/>
          <w:sz w:val="32"/>
          <w:szCs w:val="36"/>
        </w:rPr>
        <w:t>。</w:t>
      </w:r>
    </w:p>
    <w:p>
      <w:pPr>
        <w:snapToGrid w:val="0"/>
        <w:spacing w:line="540" w:lineRule="exact"/>
        <w:ind w:firstLine="640" w:firstLineChars="200"/>
        <w:rPr>
          <w:rFonts w:ascii="黑体" w:hAnsi="黑体" w:eastAsia="黑体" w:cs="仿宋_GB2312"/>
          <w:bCs/>
          <w:sz w:val="32"/>
          <w:szCs w:val="32"/>
        </w:rPr>
      </w:pPr>
      <w:r>
        <w:rPr>
          <w:rFonts w:hint="eastAsia" w:ascii="黑体" w:hAnsi="黑体" w:eastAsia="黑体" w:cs="仿宋_GB2312"/>
          <w:bCs/>
          <w:sz w:val="32"/>
          <w:szCs w:val="32"/>
        </w:rPr>
        <w:t>五、工作要求</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1.高度重视、精心组织。各地要成立专项工作组，推动形成政府、企业、社会联动共推的机制，确保各项工作落到实处。</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2.统筹资源、加强保障。各地要主动协调当地政府科技、农业、环保等有关部门，制定针对创业帮扶团队的优惠政策，整合对方资源,对活动予以支持。</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3.广泛宣传、营造氛围。各地应认真做好本次活动的宣传工作，通过提前谋划、集中启动、媒体传播，线上线下共同发力，全面展示各地各高校青年大学生参与活动的生动实践和良好精神风貌。</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4.敢于尝试、积极创新。利用网络直播、短视频等新型传播与销售途径，引导、助力红旅项目团队把握机会，积极创新创业。</w:t>
      </w:r>
    </w:p>
    <w:p>
      <w:pPr>
        <w:snapToGrid w:val="0"/>
        <w:spacing w:line="540" w:lineRule="exact"/>
        <w:ind w:firstLine="640" w:firstLineChars="200"/>
        <w:rPr>
          <w:rFonts w:ascii="黑体" w:hAnsi="黑体" w:eastAsia="黑体" w:cs="仿宋_GB2312"/>
          <w:bCs/>
          <w:sz w:val="32"/>
          <w:szCs w:val="32"/>
        </w:rPr>
      </w:pPr>
      <w:r>
        <w:rPr>
          <w:rFonts w:hint="eastAsia" w:ascii="黑体" w:hAnsi="黑体" w:eastAsia="黑体" w:cs="仿宋_GB2312"/>
          <w:bCs/>
          <w:sz w:val="32"/>
          <w:szCs w:val="32"/>
        </w:rPr>
        <w:t>六、其他</w:t>
      </w:r>
    </w:p>
    <w:p>
      <w:pPr>
        <w:snapToGrid w:val="0"/>
        <w:spacing w:line="540" w:lineRule="exact"/>
        <w:ind w:firstLine="640" w:firstLineChars="200"/>
        <w:rPr>
          <w:rFonts w:ascii="仿宋_GB2312" w:hAnsi="Calibri" w:eastAsia="仿宋_GB2312"/>
          <w:color w:val="000000"/>
          <w:sz w:val="32"/>
          <w:szCs w:val="36"/>
        </w:rPr>
      </w:pPr>
      <w:r>
        <w:rPr>
          <w:rFonts w:hint="eastAsia" w:ascii="仿宋_GB2312" w:hAnsi="Calibri" w:eastAsia="仿宋_GB2312"/>
          <w:color w:val="000000"/>
          <w:sz w:val="32"/>
          <w:szCs w:val="36"/>
        </w:rPr>
        <w:t>本附件所涉及条款的最终解释权归第六届中国国际“互联网+”大学生创新创业大赛组委会所有。</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FB7B323-4EEE-47C2-8059-0B2AD944D5C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1943AA34-C3DC-4F52-A0C0-4F7D616E6AF0}"/>
  </w:font>
  <w:font w:name="方正小标宋简体">
    <w:panose1 w:val="03000509000000000000"/>
    <w:charset w:val="86"/>
    <w:family w:val="script"/>
    <w:pitch w:val="default"/>
    <w:sig w:usb0="00000001" w:usb1="080E0000" w:usb2="00000000" w:usb3="00000000" w:csb0="00040000" w:csb1="00000000"/>
    <w:embedRegular r:id="rId3" w:fontKey="{16EC52C1-3D30-4379-BF79-B00263D103A1}"/>
  </w:font>
  <w:font w:name="仿宋_GB2312">
    <w:panose1 w:val="02010609030101010101"/>
    <w:charset w:val="86"/>
    <w:family w:val="modern"/>
    <w:pitch w:val="default"/>
    <w:sig w:usb0="00000000" w:usb1="00000000" w:usb2="00000000" w:usb3="00000000" w:csb0="00000000" w:csb1="00000000"/>
    <w:embedRegular r:id="rId4" w:fontKey="{409CD944-70D9-4461-AB01-0C0954E0BCE3}"/>
  </w:font>
  <w:font w:name="仿宋">
    <w:panose1 w:val="02010609060101010101"/>
    <w:charset w:val="86"/>
    <w:family w:val="modern"/>
    <w:pitch w:val="default"/>
    <w:sig w:usb0="800002BF" w:usb1="38CF7CFA" w:usb2="00000016" w:usb3="00000000" w:csb0="00040001" w:csb1="00000000"/>
    <w:embedRegular r:id="rId5" w:fontKey="{5B0B253F-EF22-449F-977C-0CA23D61B0DD}"/>
  </w:font>
  <w:font w:name="楷体_GB2312">
    <w:panose1 w:val="02010609030101010101"/>
    <w:charset w:val="86"/>
    <w:family w:val="modern"/>
    <w:pitch w:val="default"/>
    <w:sig w:usb0="00000000" w:usb1="00000000" w:usb2="00000000" w:usb3="00000000" w:csb0="00000000" w:csb1="00000000"/>
    <w:embedRegular r:id="rId6" w:fontKey="{867B40B3-04BA-4EAD-B31D-220D3A79DAAC}"/>
  </w:font>
  <w:font w:name="华文中宋">
    <w:panose1 w:val="02010600040101010101"/>
    <w:charset w:val="86"/>
    <w:family w:val="auto"/>
    <w:pitch w:val="default"/>
    <w:sig w:usb0="00000287" w:usb1="080F0000" w:usb2="00000000" w:usb3="00000000" w:csb0="0004009F" w:csb1="DFD70000"/>
    <w:embedRegular r:id="rId7" w:fontKey="{5E8B3FBD-ACB3-4C7B-B272-77908BE629F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8065116"/>
      <w:docPartObj>
        <w:docPartGallery w:val="AutoText"/>
      </w:docPartObj>
    </w:sdtPr>
    <w:sdtContent>
      <w:p>
        <w:pPr>
          <w:pStyle w:val="4"/>
          <w:jc w:val="center"/>
        </w:pPr>
        <w:r>
          <w:fldChar w:fldCharType="begin"/>
        </w:r>
        <w:r>
          <w:instrText xml:space="preserve">PAGE   \* MERGEFORMAT</w:instrText>
        </w:r>
        <w:r>
          <w:fldChar w:fldCharType="separate"/>
        </w:r>
        <w:r>
          <w:rPr>
            <w:lang w:val="zh-CN"/>
          </w:rPr>
          <w:t>6</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CF3AEA"/>
    <w:rsid w:val="000020AC"/>
    <w:rsid w:val="00016818"/>
    <w:rsid w:val="000930D7"/>
    <w:rsid w:val="000A708E"/>
    <w:rsid w:val="000D148D"/>
    <w:rsid w:val="00106895"/>
    <w:rsid w:val="00133562"/>
    <w:rsid w:val="00142A52"/>
    <w:rsid w:val="00153878"/>
    <w:rsid w:val="00156E14"/>
    <w:rsid w:val="00166910"/>
    <w:rsid w:val="00172C11"/>
    <w:rsid w:val="00195349"/>
    <w:rsid w:val="001B02FC"/>
    <w:rsid w:val="001B17F2"/>
    <w:rsid w:val="001D45CB"/>
    <w:rsid w:val="001E74A5"/>
    <w:rsid w:val="00215529"/>
    <w:rsid w:val="002320FA"/>
    <w:rsid w:val="002553AC"/>
    <w:rsid w:val="00257C2A"/>
    <w:rsid w:val="00271632"/>
    <w:rsid w:val="002E6624"/>
    <w:rsid w:val="002F3B1A"/>
    <w:rsid w:val="002F3C64"/>
    <w:rsid w:val="0032143E"/>
    <w:rsid w:val="00333E41"/>
    <w:rsid w:val="00371E3F"/>
    <w:rsid w:val="00376FF8"/>
    <w:rsid w:val="003C3350"/>
    <w:rsid w:val="003C613C"/>
    <w:rsid w:val="003D57EB"/>
    <w:rsid w:val="003E647E"/>
    <w:rsid w:val="00405541"/>
    <w:rsid w:val="004157F9"/>
    <w:rsid w:val="00417AD8"/>
    <w:rsid w:val="004233CF"/>
    <w:rsid w:val="00445675"/>
    <w:rsid w:val="0045531A"/>
    <w:rsid w:val="0045773F"/>
    <w:rsid w:val="004633EB"/>
    <w:rsid w:val="00487BD2"/>
    <w:rsid w:val="00491DA2"/>
    <w:rsid w:val="004C5C2B"/>
    <w:rsid w:val="004D1961"/>
    <w:rsid w:val="004E2861"/>
    <w:rsid w:val="004F63A8"/>
    <w:rsid w:val="00503727"/>
    <w:rsid w:val="0052588C"/>
    <w:rsid w:val="005416AF"/>
    <w:rsid w:val="005517D0"/>
    <w:rsid w:val="005663C7"/>
    <w:rsid w:val="00571726"/>
    <w:rsid w:val="00571A54"/>
    <w:rsid w:val="00582564"/>
    <w:rsid w:val="0059664A"/>
    <w:rsid w:val="005B5E60"/>
    <w:rsid w:val="005F0108"/>
    <w:rsid w:val="00600027"/>
    <w:rsid w:val="00603AB4"/>
    <w:rsid w:val="0062181E"/>
    <w:rsid w:val="0062479B"/>
    <w:rsid w:val="00632A57"/>
    <w:rsid w:val="00634901"/>
    <w:rsid w:val="0067261D"/>
    <w:rsid w:val="00687E64"/>
    <w:rsid w:val="0071629F"/>
    <w:rsid w:val="007168B6"/>
    <w:rsid w:val="00755EA2"/>
    <w:rsid w:val="00783BE8"/>
    <w:rsid w:val="007E02CA"/>
    <w:rsid w:val="007E2ACC"/>
    <w:rsid w:val="007F6699"/>
    <w:rsid w:val="00857F3C"/>
    <w:rsid w:val="00870E05"/>
    <w:rsid w:val="008C002D"/>
    <w:rsid w:val="008C7794"/>
    <w:rsid w:val="00913FEF"/>
    <w:rsid w:val="00921846"/>
    <w:rsid w:val="00963429"/>
    <w:rsid w:val="00975F6B"/>
    <w:rsid w:val="009A4567"/>
    <w:rsid w:val="009B0F37"/>
    <w:rsid w:val="009D16FD"/>
    <w:rsid w:val="00A374B2"/>
    <w:rsid w:val="00A40794"/>
    <w:rsid w:val="00A779AB"/>
    <w:rsid w:val="00AD4F23"/>
    <w:rsid w:val="00AE0FC1"/>
    <w:rsid w:val="00AE79E7"/>
    <w:rsid w:val="00B41EFC"/>
    <w:rsid w:val="00C37725"/>
    <w:rsid w:val="00C45D21"/>
    <w:rsid w:val="00C66F46"/>
    <w:rsid w:val="00CE2C34"/>
    <w:rsid w:val="00CF0955"/>
    <w:rsid w:val="00CF1736"/>
    <w:rsid w:val="00CF2B53"/>
    <w:rsid w:val="00D1176D"/>
    <w:rsid w:val="00D3391D"/>
    <w:rsid w:val="00D92618"/>
    <w:rsid w:val="00DA501C"/>
    <w:rsid w:val="00DA7CD1"/>
    <w:rsid w:val="00DB1DCF"/>
    <w:rsid w:val="00DC7F3B"/>
    <w:rsid w:val="00E214A6"/>
    <w:rsid w:val="00E30AB7"/>
    <w:rsid w:val="00E53665"/>
    <w:rsid w:val="00E72E18"/>
    <w:rsid w:val="00E76E7D"/>
    <w:rsid w:val="00E80A8D"/>
    <w:rsid w:val="00EC2906"/>
    <w:rsid w:val="00EE7B16"/>
    <w:rsid w:val="00F07228"/>
    <w:rsid w:val="00F34A24"/>
    <w:rsid w:val="00F7258B"/>
    <w:rsid w:val="00FA5114"/>
    <w:rsid w:val="00FB1E6F"/>
    <w:rsid w:val="00FC38AA"/>
    <w:rsid w:val="3A630671"/>
    <w:rsid w:val="3FCF3AEA"/>
    <w:rsid w:val="67643A3F"/>
    <w:rsid w:val="6C3C0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99"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uiPriority w:val="99"/>
    <w:pPr>
      <w:jc w:val="left"/>
    </w:pPr>
  </w:style>
  <w:style w:type="paragraph" w:styleId="3">
    <w:name w:val="Balloon Text"/>
    <w:basedOn w:val="1"/>
    <w:link w:val="12"/>
    <w:uiPriority w:val="0"/>
    <w:rPr>
      <w:sz w:val="18"/>
      <w:szCs w:val="18"/>
    </w:rPr>
  </w:style>
  <w:style w:type="paragraph" w:styleId="4">
    <w:name w:val="footer"/>
    <w:basedOn w:val="1"/>
    <w:link w:val="14"/>
    <w:uiPriority w:val="99"/>
    <w:pPr>
      <w:tabs>
        <w:tab w:val="center" w:pos="4153"/>
        <w:tab w:val="right" w:pos="8306"/>
      </w:tabs>
      <w:snapToGrid w:val="0"/>
      <w:jc w:val="left"/>
    </w:pPr>
    <w:rPr>
      <w:sz w:val="18"/>
      <w:szCs w:val="18"/>
    </w:rPr>
  </w:style>
  <w:style w:type="paragraph" w:styleId="5">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rPr>
      <w:sz w:val="24"/>
      <w:szCs w:val="24"/>
    </w:rPr>
  </w:style>
  <w:style w:type="paragraph" w:styleId="7">
    <w:name w:val="annotation subject"/>
    <w:basedOn w:val="2"/>
    <w:next w:val="2"/>
    <w:link w:val="16"/>
    <w:qFormat/>
    <w:uiPriority w:val="0"/>
    <w:rPr>
      <w:b/>
      <w:bCs/>
    </w:rPr>
  </w:style>
  <w:style w:type="character" w:styleId="10">
    <w:name w:val="Hyperlink"/>
    <w:basedOn w:val="9"/>
    <w:qFormat/>
    <w:uiPriority w:val="0"/>
    <w:rPr>
      <w:color w:val="0563C1" w:themeColor="hyperlink"/>
      <w:u w:val="single"/>
      <w14:textFill>
        <w14:solidFill>
          <w14:schemeClr w14:val="hlink"/>
        </w14:solidFill>
      </w14:textFill>
    </w:rPr>
  </w:style>
  <w:style w:type="character" w:styleId="11">
    <w:name w:val="annotation reference"/>
    <w:basedOn w:val="9"/>
    <w:qFormat/>
    <w:uiPriority w:val="0"/>
    <w:rPr>
      <w:sz w:val="21"/>
      <w:szCs w:val="21"/>
    </w:rPr>
  </w:style>
  <w:style w:type="character" w:customStyle="1" w:styleId="12">
    <w:name w:val="批注框文本 Char"/>
    <w:basedOn w:val="9"/>
    <w:link w:val="3"/>
    <w:uiPriority w:val="0"/>
    <w:rPr>
      <w:rFonts w:ascii="Times New Roman" w:hAnsi="Times New Roman" w:eastAsia="宋体" w:cs="Times New Roman"/>
      <w:kern w:val="2"/>
      <w:sz w:val="18"/>
      <w:szCs w:val="18"/>
    </w:rPr>
  </w:style>
  <w:style w:type="character" w:customStyle="1" w:styleId="13">
    <w:name w:val="页眉 Char"/>
    <w:basedOn w:val="9"/>
    <w:link w:val="5"/>
    <w:uiPriority w:val="0"/>
    <w:rPr>
      <w:rFonts w:ascii="Times New Roman" w:hAnsi="Times New Roman" w:eastAsia="宋体" w:cs="Times New Roman"/>
      <w:kern w:val="2"/>
      <w:sz w:val="18"/>
      <w:szCs w:val="18"/>
    </w:rPr>
  </w:style>
  <w:style w:type="character" w:customStyle="1" w:styleId="14">
    <w:name w:val="页脚 Char"/>
    <w:basedOn w:val="9"/>
    <w:link w:val="4"/>
    <w:qFormat/>
    <w:uiPriority w:val="99"/>
    <w:rPr>
      <w:rFonts w:ascii="Times New Roman" w:hAnsi="Times New Roman" w:eastAsia="宋体" w:cs="Times New Roman"/>
      <w:kern w:val="2"/>
      <w:sz w:val="18"/>
      <w:szCs w:val="18"/>
    </w:rPr>
  </w:style>
  <w:style w:type="character" w:customStyle="1" w:styleId="15">
    <w:name w:val="批注文字 Char"/>
    <w:basedOn w:val="9"/>
    <w:link w:val="2"/>
    <w:qFormat/>
    <w:uiPriority w:val="99"/>
    <w:rPr>
      <w:rFonts w:ascii="Times New Roman" w:hAnsi="Times New Roman" w:eastAsia="宋体" w:cs="Times New Roman"/>
      <w:kern w:val="2"/>
      <w:sz w:val="21"/>
      <w:szCs w:val="22"/>
    </w:rPr>
  </w:style>
  <w:style w:type="character" w:customStyle="1" w:styleId="16">
    <w:name w:val="批注主题 Char"/>
    <w:basedOn w:val="15"/>
    <w:link w:val="7"/>
    <w:qFormat/>
    <w:uiPriority w:val="0"/>
    <w:rPr>
      <w:rFonts w:ascii="Times New Roman" w:hAnsi="Times New Roman" w:eastAsia="宋体" w:cs="Times New Roman"/>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2E0CF7-8F8E-415C-9ABB-FC07F4B7A360}">
  <ds:schemaRefs/>
</ds:datastoreItem>
</file>

<file path=docProps/app.xml><?xml version="1.0" encoding="utf-8"?>
<Properties xmlns="http://schemas.openxmlformats.org/officeDocument/2006/extended-properties" xmlns:vt="http://schemas.openxmlformats.org/officeDocument/2006/docPropsVTypes">
  <Template>Normal.dotm</Template>
  <Company>scut</Company>
  <Pages>6</Pages>
  <Words>430</Words>
  <Characters>2454</Characters>
  <Lines>20</Lines>
  <Paragraphs>5</Paragraphs>
  <TotalTime>17</TotalTime>
  <ScaleCrop>false</ScaleCrop>
  <LinksUpToDate>false</LinksUpToDate>
  <CharactersWithSpaces>2879</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2020-06-01T00:16:00Z</dcterms:created>
  <dc:creator>携侣同行</dc:creator>
  <cp:lastModifiedBy>零度</cp:lastModifiedBy>
  <cp:lastPrinted>2020-05-31T23:52:00Z</cp:lastPrinted>
  <dcterms:modified xsi:type="dcterms:W3CDTF">2020-06-07T09:29:58Z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